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84" w:type="dxa"/>
        <w:tblInd w:w="-34" w:type="dxa"/>
        <w:tblLayout w:type="fixed"/>
        <w:tblLook w:val="04A0"/>
      </w:tblPr>
      <w:tblGrid>
        <w:gridCol w:w="426"/>
        <w:gridCol w:w="5722"/>
        <w:gridCol w:w="520"/>
        <w:gridCol w:w="420"/>
        <w:gridCol w:w="411"/>
        <w:gridCol w:w="480"/>
        <w:gridCol w:w="460"/>
        <w:gridCol w:w="500"/>
        <w:gridCol w:w="536"/>
        <w:gridCol w:w="480"/>
        <w:gridCol w:w="1669"/>
        <w:gridCol w:w="840"/>
        <w:gridCol w:w="840"/>
        <w:gridCol w:w="840"/>
        <w:gridCol w:w="840"/>
      </w:tblGrid>
      <w:tr w:rsidR="00004E16" w:rsidRPr="00004E16" w:rsidTr="00004E16">
        <w:trPr>
          <w:trHeight w:val="3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RANGE!A1:K58"/>
            <w:bookmarkEnd w:id="0"/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Приложение №1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 Решению Совета Авдеевского сельского поселения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4E1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XXIV сессии </w:t>
            </w:r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 созыва</w:t>
            </w:r>
            <w:r w:rsidRPr="00004E1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от 13.02.2026 г. №64 " О внесении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изменений в решение XXIII сессии V созыва Совета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Авдеевского сельского поселения от 25.12.2025 г. №62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"О бюджете </w:t>
            </w:r>
            <w:proofErr w:type="gramStart"/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Авдеевского</w:t>
            </w:r>
            <w:proofErr w:type="gramEnd"/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сельского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поселения </w:t>
            </w:r>
            <w:proofErr w:type="spellStart"/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Пудожского</w:t>
            </w:r>
            <w:proofErr w:type="spellEnd"/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Республики Карелия на 2026 год"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Приложение №2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 Решению совета Авдеевского сельского поселения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XXIII сессии V созыва "О бюджете Авдеевского сельского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4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поселения </w:t>
            </w:r>
            <w:proofErr w:type="spellStart"/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Пудожского</w:t>
            </w:r>
            <w:proofErr w:type="spellEnd"/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муниципального района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4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4E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Республики Карелия на 2026 г." №62 от 25.12.2025 г.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51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480"/>
        </w:trPr>
        <w:tc>
          <w:tcPr>
            <w:tcW w:w="1162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Прогнозируемый объем налоговых и неналоговых доходов бюджета Авдеевского сельского поселения на 2026 год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40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( рублей)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8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 групп, подгрупп, статей, подстатей, элементов, программ (подпрограмм), кодов экономической классификации  доходов</w:t>
            </w:r>
            <w:proofErr w:type="gramEnd"/>
          </w:p>
        </w:tc>
        <w:tc>
          <w:tcPr>
            <w:tcW w:w="38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142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Админист-ратор</w:t>
            </w:r>
            <w:proofErr w:type="spellEnd"/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Группа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Подгруп-па</w:t>
            </w:r>
            <w:proofErr w:type="spellEnd"/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Статья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Подстатья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Элемент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Програм-ма</w:t>
            </w:r>
            <w:proofErr w:type="spellEnd"/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Эконом</w:t>
            </w:r>
            <w:proofErr w:type="gramStart"/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лас-ция</w:t>
            </w:r>
            <w:proofErr w:type="spellEnd"/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4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 ДОХОДЫ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3 355 100,00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4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104 000,00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4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104 000,00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10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13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относящейся к налоговой базе, указанной в пункте 6.2 .статьи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sz w:val="24"/>
                <w:szCs w:val="24"/>
              </w:rPr>
              <w:t>37 000,00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40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1.2.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НАЛОГИ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206 000,00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4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102 000,00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sz w:val="24"/>
                <w:szCs w:val="24"/>
              </w:rPr>
              <w:t>102 000,00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Земельный налог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104 000,00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4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033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sz w:val="24"/>
                <w:szCs w:val="24"/>
              </w:rPr>
              <w:t>48 000,00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6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043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sz w:val="24"/>
                <w:szCs w:val="24"/>
              </w:rPr>
              <w:t>56 000,00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5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НАЛОГИ НА ТОВАРЫ (РАБОТЫ, УСЛУГИ), РЕАЛИЗУЕМЫЕ НА ТЕРРИТОРИИ РОССИЙСКОЙ ФЕДЕРАЦИИ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3 016 100,00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70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sz w:val="24"/>
                <w:szCs w:val="24"/>
              </w:rPr>
              <w:t>3 016 100,00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B8CCE4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04E16" w:rsidRPr="00004E16" w:rsidTr="00004E16">
        <w:trPr>
          <w:trHeight w:val="9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1 578 200,00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11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0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00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7 700,00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9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1 526 600,00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9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261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sz w:val="24"/>
                <w:szCs w:val="24"/>
              </w:rPr>
              <w:t>-96 400,00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52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1.4.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sz w:val="24"/>
                <w:szCs w:val="24"/>
              </w:rPr>
              <w:t>29 000,00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52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sz w:val="24"/>
                <w:szCs w:val="24"/>
              </w:rPr>
              <w:t>29 000,00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5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sz w:val="24"/>
                <w:szCs w:val="24"/>
              </w:rPr>
              <w:t>29 000,00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5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1.5.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5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 мировыми судьями (за исключением Верховного Суда РФ)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4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НЕНАЛОГОВЫЕ  ДОХОДЫ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textDirection w:val="btLr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textDirection w:val="btLr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textDirection w:val="btLr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textDirection w:val="btLr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textDirection w:val="btLr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textDirection w:val="btLr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textDirection w:val="btLr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textDirection w:val="btLr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4E16">
              <w:rPr>
                <w:rFonts w:ascii="Times New Roman" w:eastAsia="Times New Roman" w:hAnsi="Times New Roman" w:cs="Times New Roman"/>
                <w:sz w:val="28"/>
                <w:szCs w:val="28"/>
              </w:rPr>
              <w:t>76 200,00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69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2.1.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66 200,00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12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Доходы</w:t>
            </w:r>
            <w:proofErr w:type="gramStart"/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,</w:t>
            </w:r>
            <w:proofErr w:type="gramEnd"/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 , а также имущества государственных и муниципальных унитарных предприятий , в том числе казённых)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66 200,00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 созданных ими учреждений </w:t>
            </w:r>
            <w:proofErr w:type="gramStart"/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за исключением имущества бюджетных и автономных учреждений)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035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sz w:val="24"/>
                <w:szCs w:val="24"/>
              </w:rPr>
              <w:t>66 200,00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99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сельских поселений  и созданных ими учреждений </w:t>
            </w:r>
            <w:proofErr w:type="gramStart"/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035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sz w:val="24"/>
                <w:szCs w:val="24"/>
              </w:rPr>
              <w:t>66 200,00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70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2.2.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10 000,00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6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оказания платных услу</w:t>
            </w:r>
            <w:proofErr w:type="gramStart"/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г(</w:t>
            </w:r>
            <w:proofErr w:type="gramEnd"/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работ) получателями средств бюджетов сельских поселений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995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6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2.3.</w:t>
            </w:r>
          </w:p>
        </w:tc>
        <w:tc>
          <w:tcPr>
            <w:tcW w:w="57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112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10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052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6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2.4.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6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014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E1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615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noWrap/>
            <w:vAlign w:val="center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ИСТОЧНИКОВ ДОХОДОВ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4E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04E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3 431 300,00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5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6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6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52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108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111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114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28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10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15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6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7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7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58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57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4E16" w:rsidRPr="00004E16" w:rsidTr="00004E16">
        <w:trPr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0</wp:posOffset>
                  </wp:positionV>
                  <wp:extent cx="247650" cy="9525"/>
                  <wp:effectExtent l="0" t="0" r="0" b="0"/>
                  <wp:wrapNone/>
                  <wp:docPr id="2" name="Char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6700" y="30070425"/>
                            <a:ext cx="8420100" cy="0"/>
                            <a:chOff x="266700" y="30070425"/>
                            <a:chExt cx="8420100" cy="0"/>
                          </a:xfrm>
                        </a:grpSpPr>
                        <a:graphicFrame>
                          <a:nvGraphicFramePr>
                            <a:cNvPr id="6213" name="Chart 1"/>
                            <a:cNvGraphicFramePr>
                              <a:graphicFrameLocks/>
                            </a:cNvGraphicFramePr>
                          </a:nvGraphicFramePr>
                          <a:graphic>
                            <a:graphicData uri="http://schemas.openxmlformats.org/drawingml/2006/chart">
                              <c:chart xmlns:c="http://schemas.openxmlformats.org/drawingml/2006/chart" xmlns:r="http://schemas.openxmlformats.org/officeDocument/2006/relationships" r:id="rId4"/>
                            </a:graphicData>
                          </a:graphic>
                          <a:xfrm>
                            <a:off x="0" y="0"/>
                            <a:ext cx="0" cy="0"/>
                          </a:xfrm>
                        </a:graphicFrame>
                      </lc:lockedCanvas>
                    </a:graphicData>
                  </a:graphic>
                </wp:anchor>
              </w:drawing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4E16" w:rsidRPr="00004E16" w:rsidRDefault="00004E16" w:rsidP="0000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F2058" w:rsidRDefault="005F2058"/>
    <w:sectPr w:rsidR="005F2058" w:rsidSect="00004E16">
      <w:pgSz w:w="11906" w:h="16838"/>
      <w:pgMar w:top="113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004E16"/>
    <w:rsid w:val="00004E16"/>
    <w:rsid w:val="005F2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4E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04E16"/>
    <w:rPr>
      <w:color w:val="800080"/>
      <w:u w:val="single"/>
    </w:rPr>
  </w:style>
  <w:style w:type="paragraph" w:customStyle="1" w:styleId="font5">
    <w:name w:val="font5"/>
    <w:basedOn w:val="a"/>
    <w:rsid w:val="00004E1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font6">
    <w:name w:val="font6"/>
    <w:basedOn w:val="a"/>
    <w:rsid w:val="00004E1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0"/>
      <w:szCs w:val="20"/>
    </w:rPr>
  </w:style>
  <w:style w:type="paragraph" w:customStyle="1" w:styleId="xl66">
    <w:name w:val="xl66"/>
    <w:basedOn w:val="a"/>
    <w:rsid w:val="00004E1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67">
    <w:name w:val="xl67"/>
    <w:basedOn w:val="a"/>
    <w:rsid w:val="00004E1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004E1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69">
    <w:name w:val="xl69"/>
    <w:basedOn w:val="a"/>
    <w:rsid w:val="00004E1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80"/>
      <w:sz w:val="24"/>
      <w:szCs w:val="24"/>
    </w:rPr>
  </w:style>
  <w:style w:type="paragraph" w:customStyle="1" w:styleId="xl70">
    <w:name w:val="xl70"/>
    <w:basedOn w:val="a"/>
    <w:rsid w:val="00004E1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04E1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04E1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004E1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004E1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04E16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004E1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004E1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3">
    <w:name w:val="xl83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5">
    <w:name w:val="xl85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6">
    <w:name w:val="xl86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004E1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88">
    <w:name w:val="xl88"/>
    <w:basedOn w:val="a"/>
    <w:rsid w:val="00004E16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5">
    <w:name w:val="xl95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004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004E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004E1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99">
    <w:name w:val="xl99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1">
    <w:name w:val="xl101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2">
    <w:name w:val="xl102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3">
    <w:name w:val="xl103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4">
    <w:name w:val="xl104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004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004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rsid w:val="00004E1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04E16"/>
    <w:pP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5">
    <w:name w:val="xl115"/>
    <w:basedOn w:val="a"/>
    <w:rsid w:val="00004E1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7">
    <w:name w:val="xl117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8">
    <w:name w:val="xl118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9">
    <w:name w:val="xl119"/>
    <w:basedOn w:val="a"/>
    <w:rsid w:val="00004E1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004E1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004E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004E16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4">
    <w:name w:val="xl124"/>
    <w:basedOn w:val="a"/>
    <w:rsid w:val="00004E1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004E16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26">
    <w:name w:val="xl126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004E16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8">
    <w:name w:val="xl128"/>
    <w:basedOn w:val="a"/>
    <w:rsid w:val="00004E1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004E1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004E16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31">
    <w:name w:val="xl131"/>
    <w:basedOn w:val="a"/>
    <w:rsid w:val="00004E16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32">
    <w:name w:val="xl132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004E1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004E1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7">
    <w:name w:val="xl137"/>
    <w:basedOn w:val="a"/>
    <w:rsid w:val="00004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5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Desktop\&#1088;&#1072;&#1073;&#1086;&#1090;&#1072;\&#1057;&#1054;&#1042;&#1045;&#1058;\&#1056;&#1077;&#1096;&#1077;&#1085;&#1080;&#1103;%20&#1057;&#1086;&#1074;&#1077;&#1090;&#1072;\5%20&#1089;&#1086;&#1079;&#1099;&#1074;\24%20&#1089;&#1077;&#1089;&#1089;&#1080;&#1103;%20&#1086;&#1090;%2013.02.2026\1%20&#1055;&#1088;&#1080;&#1083;&#1086;&#1078;&#1077;&#1085;&#1080;&#1077;%20&#1085;&#1072;&#1083;%20&#1085;&#1077;&#1085;&#1072;&#1083;%20&#1076;&#1086;&#1093;&#1086;&#1076;&#1099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график выравнивания, в %</a:t>
            </a:r>
          </a:p>
        </c:rich>
      </c:tx>
      <c:spPr>
        <a:noFill/>
        <a:ln w="25400">
          <a:noFill/>
        </a:ln>
      </c:spPr>
    </c:title>
    <c:plotArea>
      <c:layout/>
      <c:lineChart>
        <c:grouping val="standard"/>
        <c:ser>
          <c:idx val="0"/>
          <c:order val="0"/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2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#ССЫЛКА!$M$9:$T$9</c:f>
              <c:numCache>
                <c:formatCode>General</c:formatCode>
                <c:ptCount val="1"/>
                <c:pt idx="0">
                  <c:v>1</c:v>
                </c:pt>
              </c:numCache>
            </c:numRef>
          </c:cat>
          <c:val>
            <c:numRef>
              <c:f>#ССЫЛКА!$M$10:$T$10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spPr>
            <a:ln w="38100">
              <a:solidFill>
                <a:srgbClr val="000000"/>
              </a:solidFill>
              <a:prstDash val="solid"/>
            </a:ln>
          </c:spPr>
          <c:marker>
            <c:symbol val="square"/>
            <c:size val="9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dLblPos val="r"/>
              <c:showVal val="1"/>
            </c:dLbl>
            <c:dLbl>
              <c:idx val="1"/>
              <c:dLblPos val="r"/>
              <c:showVal val="1"/>
            </c:dLbl>
            <c:dLbl>
              <c:idx val="2"/>
              <c:dLblPos val="r"/>
              <c:showVal val="1"/>
            </c:dLbl>
            <c:dLbl>
              <c:idx val="3"/>
              <c:dLblPos val="r"/>
              <c:showVal val="1"/>
            </c:dLbl>
            <c:dLbl>
              <c:idx val="4"/>
              <c:dLblPos val="r"/>
              <c:showVal val="1"/>
            </c:dLbl>
            <c:dLbl>
              <c:idx val="5"/>
              <c:dLblPos val="r"/>
              <c:showVal val="1"/>
            </c:dLbl>
            <c:dLbl>
              <c:idx val="6"/>
              <c:dLblPos val="r"/>
              <c:showVal val="1"/>
            </c:dLbl>
            <c:dLbl>
              <c:idx val="7"/>
              <c:dLblPos val="r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#ССЫЛКА!$M$9:$T$9</c:f>
              <c:numCache>
                <c:formatCode>General</c:formatCode>
                <c:ptCount val="1"/>
                <c:pt idx="0">
                  <c:v>1</c:v>
                </c:pt>
              </c:numCache>
            </c:numRef>
          </c:cat>
          <c:val>
            <c:numRef>
              <c:f>#ССЫЛКА!$M$137:$T$137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spPr>
            <a:ln w="12700">
              <a:solidFill>
                <a:srgbClr val="3366FF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dLbl>
              <c:idx val="0"/>
              <c:dLblPos val="r"/>
              <c:showVal val="1"/>
            </c:dLbl>
            <c:dLbl>
              <c:idx val="1"/>
              <c:dLblPos val="r"/>
              <c:showVal val="1"/>
            </c:dLbl>
            <c:dLbl>
              <c:idx val="2"/>
              <c:dLblPos val="r"/>
              <c:showVal val="1"/>
            </c:dLbl>
            <c:dLbl>
              <c:idx val="5"/>
              <c:dLblPos val="r"/>
              <c:showVal val="1"/>
            </c:dLbl>
            <c:dLbl>
              <c:idx val="6"/>
              <c:dLblPos val="r"/>
              <c:showVal val="1"/>
            </c:dLbl>
            <c:dLbl>
              <c:idx val="7"/>
              <c:dLblPos val="r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#ССЫЛКА!$M$9:$T$9</c:f>
              <c:numCache>
                <c:formatCode>General</c:formatCode>
                <c:ptCount val="1"/>
                <c:pt idx="0">
                  <c:v>1</c:v>
                </c:pt>
              </c:numCache>
            </c:numRef>
          </c:cat>
          <c:val>
            <c:numRef>
              <c:f>#ССЫЛКА!$M$147:$T$147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dLbls>
          <c:showVal val="1"/>
        </c:dLbls>
        <c:marker val="1"/>
        <c:axId val="134679168"/>
        <c:axId val="134685440"/>
      </c:lineChart>
      <c:catAx>
        <c:axId val="1346791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поселения</a:t>
                </a:r>
              </a:p>
            </c:rich>
          </c:tx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5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4685440"/>
        <c:crosses val="autoZero"/>
        <c:auto val="1"/>
        <c:lblAlgn val="ctr"/>
        <c:lblOffset val="100"/>
        <c:tickLblSkip val="1"/>
        <c:tickMarkSkip val="1"/>
      </c:catAx>
      <c:valAx>
        <c:axId val="13468544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%</a:t>
                </a:r>
              </a:p>
            </c:rich>
          </c:tx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2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4679168"/>
        <c:crosses val="autoZero"/>
        <c:crossBetween val="between"/>
        <c:majorUnit val="20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2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1111</Words>
  <Characters>6338</Characters>
  <Application>Microsoft Office Word</Application>
  <DocSecurity>0</DocSecurity>
  <Lines>52</Lines>
  <Paragraphs>14</Paragraphs>
  <ScaleCrop>false</ScaleCrop>
  <Company/>
  <LinksUpToDate>false</LinksUpToDate>
  <CharactersWithSpaces>7435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2026-02-19T07:52:00Z</dcterms:created>
  <dcterms:modified xsi:type="dcterms:W3CDTF">2026-02-19T07:59:00Z</dcterms:modified>
</cp:coreProperties>
</file>